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3DCC8" w14:textId="77777777" w:rsidR="00DB08E6" w:rsidRPr="00237F0B" w:rsidRDefault="00DB08E6" w:rsidP="00D52FC0">
      <w:pPr>
        <w:pStyle w:val="NoSpacing"/>
        <w:spacing w:after="240" w:line="360" w:lineRule="auto"/>
        <w:ind w:left="-567" w:right="-613"/>
        <w:jc w:val="center"/>
        <w:rPr>
          <w:rFonts w:ascii="Verdana" w:hAnsi="Verdana"/>
          <w:b/>
          <w:lang w:val="en-US"/>
        </w:rPr>
      </w:pPr>
      <w:r w:rsidRPr="00237F0B">
        <w:rPr>
          <w:rFonts w:ascii="Verdana" w:hAnsi="Verdana"/>
          <w:b/>
          <w:lang w:val="en-US"/>
        </w:rPr>
        <w:t>THE BRITISH SCHOOL OF MILAN</w:t>
      </w:r>
      <w:r w:rsidR="00320647" w:rsidRPr="00237F0B">
        <w:rPr>
          <w:rFonts w:ascii="Verdana" w:hAnsi="Verdana"/>
          <w:b/>
          <w:lang w:val="en-US"/>
        </w:rPr>
        <w:t xml:space="preserve"> – SIR JAMES HENDERSON</w:t>
      </w:r>
    </w:p>
    <w:p w14:paraId="0489A865" w14:textId="77777777" w:rsidR="00DB08E6" w:rsidRPr="00237F0B" w:rsidRDefault="00DB08E6" w:rsidP="00D52FC0">
      <w:pPr>
        <w:autoSpaceDE w:val="0"/>
        <w:autoSpaceDN w:val="0"/>
        <w:adjustRightInd w:val="0"/>
        <w:jc w:val="center"/>
        <w:rPr>
          <w:rFonts w:ascii="Verdana" w:eastAsia="Times New Roman" w:hAnsi="Verdana" w:cs="Times New Roman"/>
          <w:b/>
          <w:sz w:val="22"/>
          <w:szCs w:val="22"/>
          <w:lang w:val="en-US" w:eastAsia="it-IT"/>
        </w:rPr>
      </w:pPr>
      <w:r w:rsidRPr="00237F0B">
        <w:rPr>
          <w:rFonts w:ascii="Verdana" w:eastAsia="Times New Roman" w:hAnsi="Verdana" w:cs="Times New Roman"/>
          <w:b/>
          <w:sz w:val="22"/>
          <w:szCs w:val="22"/>
          <w:lang w:val="en-US" w:eastAsia="it-IT"/>
        </w:rPr>
        <w:t>TERMS OF REFERENCE - THE FINANCE AND GENERAL PURPOSES COMMITTEE</w:t>
      </w:r>
    </w:p>
    <w:p w14:paraId="300DE5F6" w14:textId="77777777" w:rsidR="00DB08E6" w:rsidRPr="00237F0B" w:rsidRDefault="00DB08E6" w:rsidP="00945621">
      <w:pPr>
        <w:autoSpaceDE w:val="0"/>
        <w:autoSpaceDN w:val="0"/>
        <w:adjustRightInd w:val="0"/>
        <w:jc w:val="center"/>
        <w:rPr>
          <w:rFonts w:ascii="Verdana" w:eastAsia="Times New Roman" w:hAnsi="Verdana" w:cs="Times New Roman"/>
          <w:b/>
          <w:sz w:val="22"/>
          <w:szCs w:val="22"/>
          <w:lang w:val="en-US" w:eastAsia="it-IT"/>
        </w:rPr>
      </w:pPr>
    </w:p>
    <w:p w14:paraId="203BDBD8" w14:textId="77777777" w:rsidR="00DB08E6" w:rsidRPr="00237F0B" w:rsidRDefault="00DB08E6" w:rsidP="006B10B4">
      <w:pPr>
        <w:numPr>
          <w:ilvl w:val="0"/>
          <w:numId w:val="12"/>
        </w:numPr>
        <w:tabs>
          <w:tab w:val="left" w:pos="567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after="0" w:line="240" w:lineRule="auto"/>
        <w:ind w:hanging="1287"/>
        <w:jc w:val="both"/>
        <w:rPr>
          <w:rFonts w:ascii="Verdana" w:eastAsia="Times New Roman" w:hAnsi="Verdana" w:cs="Times New Roman"/>
          <w:b/>
          <w:sz w:val="22"/>
          <w:szCs w:val="22"/>
          <w:lang w:val="en-US" w:eastAsia="it-IT"/>
        </w:rPr>
      </w:pPr>
      <w:r w:rsidRPr="00237F0B">
        <w:rPr>
          <w:rFonts w:ascii="Verdana" w:eastAsia="Times New Roman" w:hAnsi="Verdana" w:cs="Times New Roman"/>
          <w:b/>
          <w:sz w:val="22"/>
          <w:szCs w:val="22"/>
          <w:lang w:val="en-US" w:eastAsia="it-IT"/>
        </w:rPr>
        <w:t>COMPOSITION AND QUORUM</w:t>
      </w:r>
    </w:p>
    <w:p w14:paraId="336DC044" w14:textId="77777777" w:rsidR="00DB08E6" w:rsidRPr="00237F0B" w:rsidRDefault="00DB08E6" w:rsidP="00DB08E6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ind w:left="567"/>
        <w:jc w:val="both"/>
        <w:rPr>
          <w:rFonts w:ascii="Verdana" w:hAnsi="Verdana"/>
          <w:sz w:val="22"/>
          <w:szCs w:val="22"/>
        </w:rPr>
      </w:pPr>
    </w:p>
    <w:p w14:paraId="1475BF88" w14:textId="0E88D630" w:rsidR="00DB08E6" w:rsidRDefault="00DB08E6" w:rsidP="00DB08E6">
      <w:pPr>
        <w:numPr>
          <w:ilvl w:val="0"/>
          <w:numId w:val="8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Verdana" w:hAnsi="Verdana"/>
          <w:sz w:val="22"/>
          <w:szCs w:val="22"/>
        </w:rPr>
      </w:pPr>
      <w:r w:rsidRPr="00237F0B">
        <w:rPr>
          <w:rFonts w:ascii="Verdana" w:hAnsi="Verdana"/>
          <w:sz w:val="22"/>
          <w:szCs w:val="22"/>
        </w:rPr>
        <w:t xml:space="preserve">The Finance and General Purposes Committee has a monitoring and advisory role relating to: </w:t>
      </w:r>
    </w:p>
    <w:p w14:paraId="328DB439" w14:textId="77777777" w:rsidR="00D52FC0" w:rsidRPr="00B34428" w:rsidRDefault="00D52FC0" w:rsidP="00237F0B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Verdana" w:hAnsi="Verdana"/>
          <w:sz w:val="22"/>
          <w:szCs w:val="22"/>
        </w:rPr>
      </w:pPr>
    </w:p>
    <w:p w14:paraId="04417B2F" w14:textId="77777777" w:rsidR="00DB08E6" w:rsidRPr="00B34428" w:rsidRDefault="00DB08E6" w:rsidP="00DB08E6">
      <w:pPr>
        <w:numPr>
          <w:ilvl w:val="0"/>
          <w:numId w:val="11"/>
        </w:numPr>
        <w:tabs>
          <w:tab w:val="left" w:pos="851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Verdana" w:hAnsi="Verdana"/>
          <w:sz w:val="22"/>
          <w:szCs w:val="22"/>
        </w:rPr>
      </w:pPr>
      <w:r w:rsidRPr="00B34428">
        <w:rPr>
          <w:rFonts w:ascii="Verdana" w:hAnsi="Verdana"/>
          <w:sz w:val="22"/>
          <w:szCs w:val="22"/>
        </w:rPr>
        <w:t>the School’s financial health, accounting compliance, staff establishment and appointment procedures, terms and conditions of employment, and levels of remuneration;</w:t>
      </w:r>
    </w:p>
    <w:p w14:paraId="5F1F6515" w14:textId="77777777" w:rsidR="00DB08E6" w:rsidRPr="00B34428" w:rsidRDefault="00DB08E6" w:rsidP="00DF34AA">
      <w:pPr>
        <w:numPr>
          <w:ilvl w:val="0"/>
          <w:numId w:val="11"/>
        </w:numPr>
        <w:tabs>
          <w:tab w:val="left" w:pos="851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Verdana" w:hAnsi="Verdana"/>
          <w:sz w:val="22"/>
          <w:szCs w:val="22"/>
        </w:rPr>
      </w:pPr>
      <w:r w:rsidRPr="00B34428">
        <w:rPr>
          <w:rFonts w:ascii="Verdana" w:hAnsi="Verdana"/>
          <w:sz w:val="22"/>
          <w:szCs w:val="22"/>
        </w:rPr>
        <w:t xml:space="preserve">the School’s health and safety arrangements, its buildings, plants and vehicles, grounds, gardens and security. </w:t>
      </w:r>
    </w:p>
    <w:p w14:paraId="5275BA82" w14:textId="77777777" w:rsidR="00DB08E6" w:rsidRPr="00B34428" w:rsidRDefault="00DB08E6" w:rsidP="00DF34AA">
      <w:pPr>
        <w:numPr>
          <w:ilvl w:val="0"/>
          <w:numId w:val="8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Verdana" w:hAnsi="Verdana"/>
          <w:sz w:val="22"/>
          <w:szCs w:val="22"/>
        </w:rPr>
      </w:pPr>
      <w:r w:rsidRPr="00B34428">
        <w:rPr>
          <w:rFonts w:ascii="Verdana" w:hAnsi="Verdana"/>
          <w:sz w:val="22"/>
          <w:szCs w:val="22"/>
        </w:rPr>
        <w:t xml:space="preserve">The Committee will meet each term or more frequently if required. </w:t>
      </w:r>
    </w:p>
    <w:p w14:paraId="0980EBF1" w14:textId="77777777" w:rsidR="00DB08E6" w:rsidRPr="00B34428" w:rsidRDefault="00DB08E6" w:rsidP="00DF34AA">
      <w:pPr>
        <w:numPr>
          <w:ilvl w:val="0"/>
          <w:numId w:val="8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Verdana" w:hAnsi="Verdana"/>
          <w:sz w:val="22"/>
          <w:szCs w:val="22"/>
        </w:rPr>
      </w:pPr>
      <w:r w:rsidRPr="00B34428">
        <w:rPr>
          <w:rFonts w:ascii="Verdana" w:hAnsi="Verdana"/>
          <w:sz w:val="22"/>
          <w:szCs w:val="22"/>
        </w:rPr>
        <w:t xml:space="preserve">The Committee will consist of at least four governors, one of whom is to be the Chair. The Chair and Vice-Chair of Governors will be ex-officio members. The Committee Chair will be nominated by the Chair of Governors. </w:t>
      </w:r>
    </w:p>
    <w:p w14:paraId="31E82071" w14:textId="6E89AE96" w:rsidR="00DB08E6" w:rsidRPr="00237F0B" w:rsidRDefault="00DB08E6" w:rsidP="00DF34AA">
      <w:pPr>
        <w:numPr>
          <w:ilvl w:val="0"/>
          <w:numId w:val="8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Verdana" w:hAnsi="Verdana"/>
          <w:sz w:val="22"/>
          <w:szCs w:val="22"/>
        </w:rPr>
      </w:pPr>
      <w:r w:rsidRPr="00B34428">
        <w:rPr>
          <w:rFonts w:ascii="Verdana" w:hAnsi="Verdana"/>
          <w:sz w:val="22"/>
          <w:szCs w:val="22"/>
        </w:rPr>
        <w:t>Meetings of the Committee will be attended by the Principal and the CFO. Other members of sta</w:t>
      </w:r>
      <w:r w:rsidR="00AC7B03">
        <w:rPr>
          <w:rFonts w:ascii="Verdana" w:hAnsi="Verdana"/>
          <w:sz w:val="22"/>
          <w:szCs w:val="22"/>
        </w:rPr>
        <w:t>ff</w:t>
      </w:r>
      <w:r w:rsidR="00B34428">
        <w:rPr>
          <w:rFonts w:ascii="Verdana" w:hAnsi="Verdana"/>
          <w:sz w:val="22"/>
          <w:szCs w:val="22"/>
        </w:rPr>
        <w:t xml:space="preserve">, </w:t>
      </w:r>
      <w:r w:rsidRPr="00237F0B">
        <w:rPr>
          <w:rFonts w:ascii="Verdana" w:hAnsi="Verdana"/>
          <w:sz w:val="22"/>
          <w:szCs w:val="22"/>
        </w:rPr>
        <w:t xml:space="preserve">advisors </w:t>
      </w:r>
      <w:r w:rsidR="00AC7B03">
        <w:rPr>
          <w:rFonts w:ascii="Verdana" w:hAnsi="Verdana"/>
          <w:sz w:val="22"/>
          <w:szCs w:val="22"/>
        </w:rPr>
        <w:t xml:space="preserve">and other third party </w:t>
      </w:r>
      <w:r w:rsidRPr="00237F0B">
        <w:rPr>
          <w:rFonts w:ascii="Verdana" w:hAnsi="Verdana"/>
          <w:sz w:val="22"/>
          <w:szCs w:val="22"/>
        </w:rPr>
        <w:t>may be invited by the Committee. Attendees do not have a vote.</w:t>
      </w:r>
    </w:p>
    <w:p w14:paraId="3131691E" w14:textId="77777777" w:rsidR="00DB08E6" w:rsidRPr="00237F0B" w:rsidRDefault="00DB08E6" w:rsidP="00DF34AA">
      <w:pPr>
        <w:numPr>
          <w:ilvl w:val="0"/>
          <w:numId w:val="8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Verdana" w:hAnsi="Verdana"/>
          <w:sz w:val="22"/>
          <w:szCs w:val="22"/>
        </w:rPr>
      </w:pPr>
      <w:r w:rsidRPr="00237F0B">
        <w:rPr>
          <w:rFonts w:ascii="Verdana" w:hAnsi="Verdana"/>
          <w:sz w:val="22"/>
          <w:szCs w:val="22"/>
        </w:rPr>
        <w:t>The Board Secretary will be the Committee Secretary.</w:t>
      </w:r>
    </w:p>
    <w:p w14:paraId="4F9A641D" w14:textId="4F2DDFE2" w:rsidR="00DB08E6" w:rsidRPr="00237F0B" w:rsidRDefault="00DB08E6" w:rsidP="00DF34AA">
      <w:pPr>
        <w:numPr>
          <w:ilvl w:val="0"/>
          <w:numId w:val="8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Verdana" w:hAnsi="Verdana"/>
          <w:sz w:val="22"/>
          <w:szCs w:val="22"/>
        </w:rPr>
      </w:pPr>
      <w:r w:rsidRPr="00237F0B">
        <w:rPr>
          <w:rFonts w:ascii="Verdana" w:hAnsi="Verdana"/>
          <w:sz w:val="22"/>
          <w:szCs w:val="22"/>
        </w:rPr>
        <w:t xml:space="preserve">The quorum is three </w:t>
      </w:r>
      <w:r w:rsidR="002518C1" w:rsidRPr="00237F0B">
        <w:rPr>
          <w:rFonts w:ascii="Verdana" w:hAnsi="Verdana"/>
          <w:sz w:val="22"/>
          <w:szCs w:val="22"/>
        </w:rPr>
        <w:t>committee members.</w:t>
      </w:r>
    </w:p>
    <w:p w14:paraId="70FF798F" w14:textId="77777777" w:rsidR="00DB08E6" w:rsidRPr="00237F0B" w:rsidRDefault="00DB08E6" w:rsidP="00DB08E6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ind w:left="567"/>
        <w:rPr>
          <w:rFonts w:ascii="Verdana" w:hAnsi="Verdana"/>
          <w:sz w:val="22"/>
          <w:szCs w:val="22"/>
        </w:rPr>
      </w:pPr>
    </w:p>
    <w:p w14:paraId="13E758AA" w14:textId="77777777" w:rsidR="00DB08E6" w:rsidRPr="00237F0B" w:rsidRDefault="00DB08E6" w:rsidP="00DB08E6">
      <w:pPr>
        <w:numPr>
          <w:ilvl w:val="0"/>
          <w:numId w:val="12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after="0" w:line="240" w:lineRule="auto"/>
        <w:ind w:hanging="1287"/>
        <w:rPr>
          <w:rFonts w:ascii="Verdana" w:hAnsi="Verdana"/>
          <w:b/>
          <w:sz w:val="22"/>
          <w:szCs w:val="22"/>
        </w:rPr>
      </w:pPr>
      <w:r w:rsidRPr="00237F0B">
        <w:rPr>
          <w:rFonts w:ascii="Verdana" w:hAnsi="Verdana"/>
          <w:b/>
          <w:sz w:val="22"/>
          <w:szCs w:val="22"/>
        </w:rPr>
        <w:t>COMPLIANCE WITH INDEPENDENT SCHOOL STANDARDS</w:t>
      </w:r>
    </w:p>
    <w:p w14:paraId="2D413306" w14:textId="77777777" w:rsidR="00DB08E6" w:rsidRPr="00237F0B" w:rsidRDefault="00DB08E6" w:rsidP="00DC35FE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before="120" w:after="360" w:line="240" w:lineRule="auto"/>
        <w:ind w:left="567"/>
        <w:jc w:val="both"/>
        <w:rPr>
          <w:rFonts w:ascii="Verdana" w:hAnsi="Verdana"/>
          <w:sz w:val="22"/>
          <w:szCs w:val="22"/>
        </w:rPr>
      </w:pPr>
      <w:r w:rsidRPr="00237F0B">
        <w:rPr>
          <w:rFonts w:ascii="Verdana" w:hAnsi="Verdana"/>
          <w:sz w:val="22"/>
          <w:szCs w:val="22"/>
        </w:rPr>
        <w:t xml:space="preserve">The Committee is to have regard to the regulations relating to standards in independent schools and on behalf of the Governing Body receive reports, review, monitor compliance and make recommendations. </w:t>
      </w:r>
    </w:p>
    <w:p w14:paraId="394F28AC" w14:textId="77777777" w:rsidR="00DB08E6" w:rsidRPr="00237F0B" w:rsidRDefault="00DB08E6" w:rsidP="00DB08E6">
      <w:pPr>
        <w:numPr>
          <w:ilvl w:val="0"/>
          <w:numId w:val="12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after="0" w:line="240" w:lineRule="auto"/>
        <w:ind w:hanging="1287"/>
        <w:rPr>
          <w:rFonts w:ascii="Verdana" w:hAnsi="Verdana"/>
          <w:b/>
          <w:sz w:val="22"/>
          <w:szCs w:val="22"/>
        </w:rPr>
      </w:pPr>
      <w:r w:rsidRPr="00237F0B">
        <w:rPr>
          <w:rFonts w:ascii="Verdana" w:hAnsi="Verdana"/>
          <w:b/>
          <w:sz w:val="22"/>
          <w:szCs w:val="22"/>
        </w:rPr>
        <w:t>COMPLIANCE WITH HEALTH &amp; SAFETY LEGISLATION</w:t>
      </w:r>
    </w:p>
    <w:p w14:paraId="2CD830DE" w14:textId="77777777" w:rsidR="00DB08E6" w:rsidRPr="00237F0B" w:rsidRDefault="00DB08E6" w:rsidP="00DC35FE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after="0"/>
        <w:rPr>
          <w:rFonts w:ascii="Verdana" w:hAnsi="Verdana"/>
          <w:b/>
          <w:sz w:val="22"/>
          <w:szCs w:val="22"/>
        </w:rPr>
      </w:pPr>
    </w:p>
    <w:p w14:paraId="7CD77B14" w14:textId="77777777" w:rsidR="00DB08E6" w:rsidRPr="00237F0B" w:rsidRDefault="00DB08E6" w:rsidP="00DB08E6">
      <w:pPr>
        <w:numPr>
          <w:ilvl w:val="0"/>
          <w:numId w:val="14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Verdana" w:hAnsi="Verdana"/>
          <w:sz w:val="22"/>
          <w:szCs w:val="22"/>
        </w:rPr>
      </w:pPr>
      <w:r w:rsidRPr="00237F0B">
        <w:rPr>
          <w:rFonts w:ascii="Verdana" w:hAnsi="Verdana"/>
          <w:sz w:val="22"/>
          <w:szCs w:val="22"/>
        </w:rPr>
        <w:t>Having first conducted a suitable appointment process, the Committee is to recommend to the Governing Body the appointment of an external Health &amp; Safety Advisor (“</w:t>
      </w:r>
      <w:proofErr w:type="spellStart"/>
      <w:r w:rsidRPr="00237F0B">
        <w:rPr>
          <w:rFonts w:ascii="Verdana" w:hAnsi="Verdana"/>
          <w:i/>
          <w:sz w:val="22"/>
          <w:szCs w:val="22"/>
        </w:rPr>
        <w:t>Responsabile</w:t>
      </w:r>
      <w:proofErr w:type="spellEnd"/>
      <w:r w:rsidRPr="00237F0B">
        <w:rPr>
          <w:rFonts w:ascii="Verdana" w:hAnsi="Verdana"/>
          <w:sz w:val="22"/>
          <w:szCs w:val="22"/>
        </w:rPr>
        <w:t>”). The appointment is to be for a renewable period of three years.</w:t>
      </w:r>
    </w:p>
    <w:p w14:paraId="7199A493" w14:textId="77777777" w:rsidR="00DB08E6" w:rsidRPr="00237F0B" w:rsidRDefault="00DB08E6" w:rsidP="00DC35FE">
      <w:pPr>
        <w:numPr>
          <w:ilvl w:val="0"/>
          <w:numId w:val="14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Verdana" w:hAnsi="Verdana"/>
          <w:sz w:val="22"/>
          <w:szCs w:val="22"/>
        </w:rPr>
      </w:pPr>
      <w:r w:rsidRPr="00237F0B">
        <w:rPr>
          <w:rFonts w:ascii="Verdana" w:hAnsi="Verdana"/>
          <w:sz w:val="22"/>
          <w:szCs w:val="22"/>
        </w:rPr>
        <w:t>In consultation with the CFO, the advisor (“</w:t>
      </w:r>
      <w:proofErr w:type="spellStart"/>
      <w:r w:rsidRPr="00237F0B">
        <w:rPr>
          <w:rFonts w:ascii="Verdana" w:hAnsi="Verdana"/>
          <w:i/>
          <w:sz w:val="22"/>
          <w:szCs w:val="22"/>
        </w:rPr>
        <w:t>Responsabile</w:t>
      </w:r>
      <w:proofErr w:type="spellEnd"/>
      <w:r w:rsidRPr="00237F0B">
        <w:rPr>
          <w:rFonts w:ascii="Verdana" w:hAnsi="Verdana"/>
          <w:sz w:val="22"/>
          <w:szCs w:val="22"/>
        </w:rPr>
        <w:t>”) is to draw up an annual review programme and report to the Committee on the adequacy of current health and safety arrangements.</w:t>
      </w:r>
    </w:p>
    <w:p w14:paraId="2E4B946A" w14:textId="77777777" w:rsidR="00DB08E6" w:rsidRPr="00237F0B" w:rsidRDefault="00DB08E6" w:rsidP="00DC35FE">
      <w:pPr>
        <w:numPr>
          <w:ilvl w:val="0"/>
          <w:numId w:val="14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Verdana" w:hAnsi="Verdana"/>
          <w:sz w:val="22"/>
          <w:szCs w:val="22"/>
        </w:rPr>
      </w:pPr>
      <w:r w:rsidRPr="00237F0B">
        <w:rPr>
          <w:rFonts w:ascii="Verdana" w:hAnsi="Verdana"/>
          <w:sz w:val="22"/>
          <w:szCs w:val="22"/>
        </w:rPr>
        <w:lastRenderedPageBreak/>
        <w:t xml:space="preserve">The Committee is to receive and consider the minutes of the School Health &amp; Safety Committee, which meets termly with the CFO in the chair. Periodically, the Committee Chair may direct that a governor observes a meeting of the School committee. </w:t>
      </w:r>
    </w:p>
    <w:p w14:paraId="24896779" w14:textId="77777777" w:rsidR="00DB08E6" w:rsidRPr="00237F0B" w:rsidRDefault="00DB08E6" w:rsidP="00DB08E6">
      <w:pPr>
        <w:numPr>
          <w:ilvl w:val="0"/>
          <w:numId w:val="14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Verdana" w:hAnsi="Verdana"/>
          <w:sz w:val="22"/>
          <w:szCs w:val="22"/>
        </w:rPr>
      </w:pPr>
      <w:r w:rsidRPr="00237F0B">
        <w:rPr>
          <w:rFonts w:ascii="Verdana" w:hAnsi="Verdana"/>
          <w:sz w:val="22"/>
          <w:szCs w:val="22"/>
        </w:rPr>
        <w:t xml:space="preserve">The Committee is to make such reports and recommendations to the Governing Body as they deem appropriate.       </w:t>
      </w:r>
    </w:p>
    <w:p w14:paraId="465352F1" w14:textId="77777777" w:rsidR="00DB08E6" w:rsidRPr="00237F0B" w:rsidRDefault="00DB08E6" w:rsidP="00DB08E6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ind w:left="567"/>
        <w:jc w:val="both"/>
        <w:rPr>
          <w:rFonts w:ascii="Verdana" w:hAnsi="Verdana"/>
          <w:sz w:val="22"/>
          <w:szCs w:val="22"/>
        </w:rPr>
      </w:pPr>
    </w:p>
    <w:p w14:paraId="05A1B40E" w14:textId="159DF997" w:rsidR="00DB08E6" w:rsidRPr="00237F0B" w:rsidRDefault="00DB08E6" w:rsidP="00DC35FE">
      <w:pPr>
        <w:numPr>
          <w:ilvl w:val="0"/>
          <w:numId w:val="12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after="120" w:line="240" w:lineRule="auto"/>
        <w:ind w:hanging="1287"/>
        <w:rPr>
          <w:rFonts w:ascii="Verdana" w:hAnsi="Verdana"/>
          <w:b/>
          <w:sz w:val="22"/>
          <w:szCs w:val="22"/>
        </w:rPr>
      </w:pPr>
      <w:r w:rsidRPr="00237F0B">
        <w:rPr>
          <w:rFonts w:ascii="Verdana" w:hAnsi="Verdana"/>
          <w:b/>
          <w:sz w:val="22"/>
          <w:szCs w:val="22"/>
        </w:rPr>
        <w:t>DUTIES</w:t>
      </w:r>
    </w:p>
    <w:p w14:paraId="27854206" w14:textId="77777777" w:rsidR="00DB08E6" w:rsidRPr="00237F0B" w:rsidRDefault="00DB08E6" w:rsidP="00DB08E6">
      <w:pPr>
        <w:numPr>
          <w:ilvl w:val="0"/>
          <w:numId w:val="15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Verdana" w:hAnsi="Verdana"/>
          <w:sz w:val="22"/>
          <w:szCs w:val="22"/>
        </w:rPr>
      </w:pPr>
      <w:r w:rsidRPr="00237F0B">
        <w:rPr>
          <w:rFonts w:ascii="Verdana" w:hAnsi="Verdana"/>
          <w:sz w:val="22"/>
          <w:szCs w:val="22"/>
        </w:rPr>
        <w:t>On behalf of the Governing Body, the Committee is to receive reports, review, monitor implementation, consider changes, and where required make recommendations on the:</w:t>
      </w:r>
    </w:p>
    <w:p w14:paraId="3E4297DA" w14:textId="77777777" w:rsidR="00DB08E6" w:rsidRPr="00237F0B" w:rsidRDefault="00DB08E6" w:rsidP="00DB08E6">
      <w:pPr>
        <w:autoSpaceDE w:val="0"/>
        <w:autoSpaceDN w:val="0"/>
        <w:adjustRightInd w:val="0"/>
        <w:ind w:left="567"/>
        <w:rPr>
          <w:rFonts w:ascii="Verdana" w:hAnsi="Verdana"/>
          <w:sz w:val="22"/>
          <w:szCs w:val="22"/>
        </w:rPr>
      </w:pPr>
    </w:p>
    <w:p w14:paraId="1BC85E77" w14:textId="77777777" w:rsidR="00DB08E6" w:rsidRPr="00237F0B" w:rsidRDefault="00DB08E6" w:rsidP="00DB08E6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1134" w:hanging="567"/>
        <w:rPr>
          <w:rFonts w:ascii="Verdana" w:hAnsi="Verdana"/>
          <w:sz w:val="22"/>
          <w:szCs w:val="22"/>
        </w:rPr>
      </w:pPr>
      <w:r w:rsidRPr="00237F0B">
        <w:rPr>
          <w:rFonts w:ascii="Verdana" w:hAnsi="Verdana"/>
          <w:sz w:val="22"/>
          <w:szCs w:val="22"/>
        </w:rPr>
        <w:t>Adoption of strategic financial targets e.g. cash reserves, level of surplus, percentage of staff costs to gross fees, etc.</w:t>
      </w:r>
    </w:p>
    <w:p w14:paraId="70DCADA8" w14:textId="2DF2D10C" w:rsidR="00DB08E6" w:rsidRPr="00237F0B" w:rsidRDefault="000E68E3" w:rsidP="00DB08E6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1134" w:hanging="567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Quarterly</w:t>
      </w:r>
      <w:r w:rsidRPr="00237F0B">
        <w:rPr>
          <w:rFonts w:ascii="Verdana" w:hAnsi="Verdana"/>
          <w:sz w:val="22"/>
          <w:szCs w:val="22"/>
        </w:rPr>
        <w:t xml:space="preserve"> </w:t>
      </w:r>
      <w:r w:rsidR="00DB08E6" w:rsidRPr="00237F0B">
        <w:rPr>
          <w:rFonts w:ascii="Verdana" w:hAnsi="Verdana"/>
          <w:sz w:val="22"/>
          <w:szCs w:val="22"/>
        </w:rPr>
        <w:t xml:space="preserve">reports produced by the </w:t>
      </w:r>
      <w:proofErr w:type="gramStart"/>
      <w:r w:rsidR="00DB08E6" w:rsidRPr="00237F0B">
        <w:rPr>
          <w:rFonts w:ascii="Verdana" w:hAnsi="Verdana"/>
          <w:sz w:val="22"/>
          <w:szCs w:val="22"/>
        </w:rPr>
        <w:t>CFO</w:t>
      </w:r>
      <w:proofErr w:type="gramEnd"/>
    </w:p>
    <w:p w14:paraId="5CFEE93C" w14:textId="77777777" w:rsidR="00DB08E6" w:rsidRPr="00237F0B" w:rsidRDefault="00DB08E6" w:rsidP="00DB08E6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1134" w:hanging="567"/>
        <w:rPr>
          <w:rFonts w:ascii="Verdana" w:hAnsi="Verdana"/>
          <w:sz w:val="22"/>
          <w:szCs w:val="22"/>
        </w:rPr>
      </w:pPr>
      <w:r w:rsidRPr="00237F0B">
        <w:rPr>
          <w:rFonts w:ascii="Verdana" w:hAnsi="Verdana"/>
          <w:sz w:val="22"/>
          <w:szCs w:val="22"/>
        </w:rPr>
        <w:t xml:space="preserve">Financial </w:t>
      </w:r>
      <w:r w:rsidR="00DC35FE" w:rsidRPr="00237F0B">
        <w:rPr>
          <w:rFonts w:ascii="Verdana" w:hAnsi="Verdana"/>
          <w:sz w:val="22"/>
          <w:szCs w:val="22"/>
        </w:rPr>
        <w:t xml:space="preserve">Strategic Plan </w:t>
      </w:r>
      <w:r w:rsidRPr="00237F0B">
        <w:rPr>
          <w:rFonts w:ascii="Verdana" w:hAnsi="Verdana"/>
          <w:sz w:val="22"/>
          <w:szCs w:val="22"/>
        </w:rPr>
        <w:t xml:space="preserve">covering the next </w:t>
      </w:r>
      <w:r w:rsidR="00DC35FE" w:rsidRPr="00237F0B">
        <w:rPr>
          <w:rFonts w:ascii="Verdana" w:hAnsi="Verdana"/>
          <w:sz w:val="22"/>
          <w:szCs w:val="22"/>
        </w:rPr>
        <w:t>four</w:t>
      </w:r>
      <w:r w:rsidRPr="00237F0B">
        <w:rPr>
          <w:rFonts w:ascii="Verdana" w:hAnsi="Verdana"/>
          <w:sz w:val="22"/>
          <w:szCs w:val="22"/>
        </w:rPr>
        <w:t xml:space="preserve"> years</w:t>
      </w:r>
    </w:p>
    <w:p w14:paraId="3A468F85" w14:textId="77777777" w:rsidR="00DB08E6" w:rsidRPr="00237F0B" w:rsidRDefault="00DB08E6" w:rsidP="00DB08E6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1134" w:hanging="567"/>
        <w:rPr>
          <w:rFonts w:ascii="Verdana" w:hAnsi="Verdana"/>
          <w:sz w:val="22"/>
          <w:szCs w:val="22"/>
        </w:rPr>
      </w:pPr>
      <w:r w:rsidRPr="00237F0B">
        <w:rPr>
          <w:rFonts w:ascii="Verdana" w:hAnsi="Verdana"/>
          <w:sz w:val="22"/>
          <w:szCs w:val="22"/>
        </w:rPr>
        <w:t>Detailed Budget (Revenue, Costs, Capex cash flow) for the next financial year</w:t>
      </w:r>
    </w:p>
    <w:p w14:paraId="5B1DFC4D" w14:textId="77777777" w:rsidR="00DB08E6" w:rsidRPr="00237F0B" w:rsidRDefault="00DB08E6" w:rsidP="00DB08E6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1134" w:hanging="567"/>
        <w:rPr>
          <w:rFonts w:ascii="Verdana" w:hAnsi="Verdana"/>
          <w:sz w:val="22"/>
          <w:szCs w:val="22"/>
        </w:rPr>
      </w:pPr>
      <w:r w:rsidRPr="00237F0B">
        <w:rPr>
          <w:rFonts w:ascii="Verdana" w:hAnsi="Verdana"/>
          <w:sz w:val="22"/>
          <w:szCs w:val="22"/>
        </w:rPr>
        <w:t>Level of borrowing and borrowing facility arrangements</w:t>
      </w:r>
    </w:p>
    <w:p w14:paraId="2864F5E2" w14:textId="77777777" w:rsidR="00DB08E6" w:rsidRPr="00237F0B" w:rsidRDefault="00DB08E6" w:rsidP="00DB08E6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1134" w:hanging="567"/>
        <w:rPr>
          <w:rFonts w:ascii="Verdana" w:hAnsi="Verdana"/>
          <w:sz w:val="22"/>
          <w:szCs w:val="22"/>
        </w:rPr>
      </w:pPr>
      <w:r w:rsidRPr="00237F0B">
        <w:rPr>
          <w:rFonts w:ascii="Verdana" w:hAnsi="Verdana"/>
          <w:sz w:val="22"/>
          <w:szCs w:val="22"/>
        </w:rPr>
        <w:t>Tuition fee and additional charges for the next financial year</w:t>
      </w:r>
    </w:p>
    <w:p w14:paraId="4439A5C2" w14:textId="77777777" w:rsidR="00DB08E6" w:rsidRPr="00237F0B" w:rsidRDefault="00DB08E6" w:rsidP="00DB08E6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1134" w:hanging="567"/>
        <w:rPr>
          <w:rFonts w:ascii="Verdana" w:hAnsi="Verdana"/>
          <w:sz w:val="22"/>
          <w:szCs w:val="22"/>
        </w:rPr>
      </w:pPr>
      <w:r w:rsidRPr="00237F0B">
        <w:rPr>
          <w:rFonts w:ascii="Verdana" w:hAnsi="Verdana"/>
          <w:sz w:val="22"/>
          <w:szCs w:val="22"/>
        </w:rPr>
        <w:t>Policy on and application of additional charges, fee concessions, discounts, scholarships and bursaries</w:t>
      </w:r>
    </w:p>
    <w:p w14:paraId="7298E854" w14:textId="600573B4" w:rsidR="00DB08E6" w:rsidRPr="00237F0B" w:rsidRDefault="00DB08E6" w:rsidP="00DB08E6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1134" w:hanging="567"/>
        <w:rPr>
          <w:rFonts w:ascii="Verdana" w:hAnsi="Verdana"/>
          <w:sz w:val="22"/>
          <w:szCs w:val="22"/>
        </w:rPr>
      </w:pPr>
      <w:r w:rsidRPr="00237F0B">
        <w:rPr>
          <w:rFonts w:ascii="Verdana" w:hAnsi="Verdana"/>
          <w:sz w:val="22"/>
          <w:szCs w:val="22"/>
        </w:rPr>
        <w:t xml:space="preserve">Status of fee debtors </w:t>
      </w:r>
      <w:r w:rsidR="006D0FC9">
        <w:rPr>
          <w:rFonts w:ascii="Verdana" w:hAnsi="Verdana"/>
          <w:sz w:val="22"/>
          <w:szCs w:val="22"/>
        </w:rPr>
        <w:t xml:space="preserve">in aggregate </w:t>
      </w:r>
      <w:r w:rsidRPr="00237F0B">
        <w:rPr>
          <w:rFonts w:ascii="Verdana" w:hAnsi="Verdana"/>
          <w:sz w:val="22"/>
          <w:szCs w:val="22"/>
        </w:rPr>
        <w:t>and application of related recovery policy</w:t>
      </w:r>
    </w:p>
    <w:p w14:paraId="321CEC7A" w14:textId="77777777" w:rsidR="00DB08E6" w:rsidRPr="00237F0B" w:rsidRDefault="00DB08E6" w:rsidP="00DB08E6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1134" w:hanging="567"/>
        <w:rPr>
          <w:rFonts w:ascii="Verdana" w:hAnsi="Verdana"/>
          <w:sz w:val="22"/>
          <w:szCs w:val="22"/>
        </w:rPr>
      </w:pPr>
      <w:r w:rsidRPr="00237F0B">
        <w:rPr>
          <w:rFonts w:ascii="Verdana" w:hAnsi="Verdana"/>
          <w:sz w:val="22"/>
          <w:szCs w:val="22"/>
        </w:rPr>
        <w:t>Investment policy and targets, investment portfolio and overall rate of return</w:t>
      </w:r>
    </w:p>
    <w:p w14:paraId="1AA8C3F0" w14:textId="60898758" w:rsidR="00DB08E6" w:rsidRPr="00237F0B" w:rsidRDefault="00DB08E6" w:rsidP="00DB08E6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1134" w:hanging="567"/>
        <w:rPr>
          <w:rFonts w:ascii="Verdana" w:hAnsi="Verdana"/>
          <w:sz w:val="22"/>
          <w:szCs w:val="22"/>
        </w:rPr>
      </w:pPr>
      <w:r w:rsidRPr="00237F0B">
        <w:rPr>
          <w:rFonts w:ascii="Verdana" w:hAnsi="Verdana"/>
          <w:sz w:val="22"/>
          <w:szCs w:val="22"/>
        </w:rPr>
        <w:t xml:space="preserve">Fundraising </w:t>
      </w:r>
      <w:r w:rsidR="0068484B" w:rsidRPr="0068484B">
        <w:rPr>
          <w:rFonts w:ascii="Verdana" w:hAnsi="Verdana"/>
          <w:sz w:val="22"/>
          <w:szCs w:val="22"/>
        </w:rPr>
        <w:t>policy</w:t>
      </w:r>
      <w:r w:rsidRPr="00237F0B">
        <w:rPr>
          <w:rFonts w:ascii="Verdana" w:hAnsi="Verdana"/>
          <w:sz w:val="22"/>
          <w:szCs w:val="22"/>
        </w:rPr>
        <w:t xml:space="preserve"> </w:t>
      </w:r>
    </w:p>
    <w:p w14:paraId="39C17A55" w14:textId="77777777" w:rsidR="00DB08E6" w:rsidRPr="00237F0B" w:rsidRDefault="00DB08E6" w:rsidP="00DB08E6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1134" w:hanging="567"/>
        <w:rPr>
          <w:rFonts w:ascii="Verdana" w:hAnsi="Verdana"/>
          <w:sz w:val="22"/>
          <w:szCs w:val="22"/>
        </w:rPr>
      </w:pPr>
      <w:r w:rsidRPr="00237F0B">
        <w:rPr>
          <w:rFonts w:ascii="Verdana" w:hAnsi="Verdana"/>
          <w:sz w:val="22"/>
          <w:szCs w:val="22"/>
        </w:rPr>
        <w:t>Reports from the other committees and their financial implications</w:t>
      </w:r>
    </w:p>
    <w:p w14:paraId="4E7EF36F" w14:textId="61437C59" w:rsidR="00DB08E6" w:rsidRPr="00237F0B" w:rsidRDefault="006D0FC9" w:rsidP="00026B19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0" w:line="360" w:lineRule="auto"/>
        <w:ind w:left="1134" w:hanging="567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Oversight on the a</w:t>
      </w:r>
      <w:r w:rsidR="00DB08E6" w:rsidRPr="00237F0B">
        <w:rPr>
          <w:rFonts w:ascii="Verdana" w:hAnsi="Verdana"/>
          <w:sz w:val="22"/>
          <w:szCs w:val="22"/>
        </w:rPr>
        <w:t>dequacy of insurance cover.</w:t>
      </w:r>
    </w:p>
    <w:p w14:paraId="7BE643B4" w14:textId="0EE84B80" w:rsidR="00DB08E6" w:rsidRPr="00237F0B" w:rsidRDefault="00DB08E6" w:rsidP="00026B19">
      <w:pPr>
        <w:pStyle w:val="ListParagraph"/>
        <w:numPr>
          <w:ilvl w:val="0"/>
          <w:numId w:val="10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Verdana" w:hAnsi="Verdana"/>
          <w:sz w:val="22"/>
          <w:szCs w:val="22"/>
        </w:rPr>
      </w:pPr>
    </w:p>
    <w:p w14:paraId="11F2C6D8" w14:textId="58F364EA" w:rsidR="00DB08E6" w:rsidRPr="00237F0B" w:rsidRDefault="00BA4E14" w:rsidP="00026B19">
      <w:pPr>
        <w:pStyle w:val="ListParagraph"/>
        <w:numPr>
          <w:ilvl w:val="0"/>
          <w:numId w:val="10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Oversight on p</w:t>
      </w:r>
      <w:r w:rsidR="00DB08E6" w:rsidRPr="00237F0B">
        <w:rPr>
          <w:rFonts w:ascii="Verdana" w:hAnsi="Verdana"/>
          <w:sz w:val="22"/>
          <w:szCs w:val="22"/>
        </w:rPr>
        <w:t xml:space="preserve">rocedures for complying with existing employment </w:t>
      </w:r>
      <w:proofErr w:type="gramStart"/>
      <w:r w:rsidR="00DB08E6" w:rsidRPr="00237F0B">
        <w:rPr>
          <w:rFonts w:ascii="Verdana" w:hAnsi="Verdana"/>
          <w:sz w:val="22"/>
          <w:szCs w:val="22"/>
        </w:rPr>
        <w:t>legislation</w:t>
      </w:r>
      <w:proofErr w:type="gramEnd"/>
    </w:p>
    <w:p w14:paraId="29C30232" w14:textId="77777777" w:rsidR="00026B19" w:rsidRPr="00237F0B" w:rsidRDefault="00DB08E6" w:rsidP="00AE5117">
      <w:pPr>
        <w:pStyle w:val="ListParagraph"/>
        <w:numPr>
          <w:ilvl w:val="0"/>
          <w:numId w:val="10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Verdana" w:hAnsi="Verdana"/>
          <w:sz w:val="22"/>
          <w:szCs w:val="22"/>
        </w:rPr>
      </w:pPr>
      <w:r w:rsidRPr="00237F0B">
        <w:rPr>
          <w:rFonts w:ascii="Verdana" w:hAnsi="Verdana"/>
          <w:sz w:val="22"/>
          <w:szCs w:val="22"/>
        </w:rPr>
        <w:t xml:space="preserve">Implications, financial or otherwise, of </w:t>
      </w:r>
      <w:r w:rsidR="00026B19" w:rsidRPr="00237F0B">
        <w:rPr>
          <w:rFonts w:ascii="Verdana" w:hAnsi="Verdana"/>
          <w:sz w:val="22"/>
          <w:szCs w:val="22"/>
        </w:rPr>
        <w:t>proposed employment legislation</w:t>
      </w:r>
    </w:p>
    <w:p w14:paraId="32B3949A" w14:textId="77777777" w:rsidR="00AE5117" w:rsidRPr="00237F0B" w:rsidRDefault="00AE5117" w:rsidP="00AE5117">
      <w:pPr>
        <w:pStyle w:val="ListParagraph"/>
        <w:numPr>
          <w:ilvl w:val="0"/>
          <w:numId w:val="10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Verdana" w:hAnsi="Verdana"/>
          <w:sz w:val="22"/>
          <w:szCs w:val="22"/>
        </w:rPr>
      </w:pPr>
      <w:r w:rsidRPr="00237F0B">
        <w:rPr>
          <w:rFonts w:ascii="Verdana" w:hAnsi="Verdana"/>
          <w:sz w:val="22"/>
          <w:szCs w:val="22"/>
        </w:rPr>
        <w:t xml:space="preserve">Revenue and capital budgets to maintain the Building and Estate to the required </w:t>
      </w:r>
      <w:proofErr w:type="gramStart"/>
      <w:r w:rsidRPr="00237F0B">
        <w:rPr>
          <w:rFonts w:ascii="Verdana" w:hAnsi="Verdana"/>
          <w:sz w:val="22"/>
          <w:szCs w:val="22"/>
        </w:rPr>
        <w:t>standard</w:t>
      </w:r>
      <w:proofErr w:type="gramEnd"/>
    </w:p>
    <w:p w14:paraId="1F50773D" w14:textId="77777777" w:rsidR="00DB08E6" w:rsidRPr="00237F0B" w:rsidRDefault="00026B19" w:rsidP="00026B19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2"/>
          <w:szCs w:val="22"/>
        </w:rPr>
      </w:pPr>
      <w:r w:rsidRPr="00237F0B">
        <w:rPr>
          <w:rFonts w:ascii="Verdana" w:hAnsi="Verdana"/>
          <w:sz w:val="22"/>
          <w:szCs w:val="22"/>
        </w:rPr>
        <w:tab/>
      </w:r>
      <w:r w:rsidRPr="00237F0B">
        <w:rPr>
          <w:rFonts w:ascii="Verdana" w:hAnsi="Verdana"/>
          <w:sz w:val="22"/>
          <w:szCs w:val="22"/>
        </w:rPr>
        <w:tab/>
      </w:r>
      <w:r w:rsidR="00DB08E6" w:rsidRPr="00237F0B">
        <w:rPr>
          <w:rFonts w:ascii="Verdana" w:hAnsi="Verdana"/>
          <w:sz w:val="22"/>
          <w:szCs w:val="22"/>
        </w:rPr>
        <w:t xml:space="preserve"> </w:t>
      </w:r>
    </w:p>
    <w:p w14:paraId="6CFB2B82" w14:textId="77777777" w:rsidR="00DB08E6" w:rsidRPr="00237F0B" w:rsidRDefault="00DB08E6" w:rsidP="00AE5117">
      <w:pPr>
        <w:numPr>
          <w:ilvl w:val="0"/>
          <w:numId w:val="16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Verdana" w:hAnsi="Verdana"/>
          <w:sz w:val="22"/>
          <w:szCs w:val="22"/>
        </w:rPr>
      </w:pPr>
      <w:r w:rsidRPr="00237F0B">
        <w:rPr>
          <w:rFonts w:ascii="Verdana" w:hAnsi="Verdana"/>
          <w:sz w:val="22"/>
          <w:szCs w:val="22"/>
        </w:rPr>
        <w:t>Establish ad hoc working groups to carry out investigations and projects, and make recommendations as required.</w:t>
      </w:r>
    </w:p>
    <w:p w14:paraId="7B061C32" w14:textId="2CB278B7" w:rsidR="002518C1" w:rsidRDefault="00DB08E6" w:rsidP="002518C1">
      <w:pPr>
        <w:numPr>
          <w:ilvl w:val="0"/>
          <w:numId w:val="16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Verdana" w:hAnsi="Verdana"/>
          <w:sz w:val="22"/>
          <w:szCs w:val="22"/>
        </w:rPr>
      </w:pPr>
      <w:r w:rsidRPr="00237F0B">
        <w:rPr>
          <w:rFonts w:ascii="Verdana" w:hAnsi="Verdana"/>
          <w:sz w:val="22"/>
          <w:szCs w:val="22"/>
        </w:rPr>
        <w:t>Undertake tasks and further research as directed by the Governing Body.</w:t>
      </w:r>
    </w:p>
    <w:p w14:paraId="55CDD9BF" w14:textId="77777777" w:rsidR="00237F0B" w:rsidRPr="00237F0B" w:rsidRDefault="00237F0B" w:rsidP="00237F0B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Verdana" w:hAnsi="Verdana"/>
          <w:sz w:val="22"/>
          <w:szCs w:val="22"/>
        </w:rPr>
      </w:pPr>
    </w:p>
    <w:p w14:paraId="46CD7879" w14:textId="77777777" w:rsidR="002518C1" w:rsidRPr="00237F0B" w:rsidRDefault="002518C1" w:rsidP="00237F0B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Verdana" w:hAnsi="Verdana"/>
          <w:sz w:val="22"/>
          <w:szCs w:val="22"/>
        </w:rPr>
      </w:pPr>
    </w:p>
    <w:p w14:paraId="3EBEDDDA" w14:textId="58FED874" w:rsidR="002518C1" w:rsidRPr="00237F0B" w:rsidRDefault="002518C1" w:rsidP="002518C1">
      <w:pPr>
        <w:numPr>
          <w:ilvl w:val="0"/>
          <w:numId w:val="12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after="120" w:line="240" w:lineRule="auto"/>
        <w:ind w:hanging="1287"/>
        <w:rPr>
          <w:rFonts w:ascii="Verdana" w:hAnsi="Verdana"/>
          <w:b/>
          <w:sz w:val="22"/>
          <w:szCs w:val="22"/>
        </w:rPr>
      </w:pPr>
      <w:r w:rsidRPr="00237F0B">
        <w:rPr>
          <w:rFonts w:ascii="Verdana" w:hAnsi="Verdana"/>
          <w:b/>
          <w:sz w:val="22"/>
          <w:szCs w:val="22"/>
        </w:rPr>
        <w:lastRenderedPageBreak/>
        <w:t>MONITORING</w:t>
      </w:r>
    </w:p>
    <w:p w14:paraId="43C2C42A" w14:textId="77777777" w:rsidR="002518C1" w:rsidRPr="00237F0B" w:rsidRDefault="002518C1" w:rsidP="00237F0B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after="120" w:line="240" w:lineRule="auto"/>
        <w:ind w:left="1287"/>
        <w:rPr>
          <w:rFonts w:ascii="Verdana" w:hAnsi="Verdana"/>
          <w:b/>
          <w:sz w:val="22"/>
          <w:szCs w:val="22"/>
        </w:rPr>
      </w:pPr>
    </w:p>
    <w:p w14:paraId="694ABBD4" w14:textId="07F04D37" w:rsidR="002518C1" w:rsidRPr="00237F0B" w:rsidRDefault="000E68E3" w:rsidP="00237F0B">
      <w:pPr>
        <w:pStyle w:val="ListParagraph"/>
        <w:numPr>
          <w:ilvl w:val="0"/>
          <w:numId w:val="20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Verdana" w:hAnsi="Verdana"/>
          <w:sz w:val="22"/>
          <w:szCs w:val="22"/>
        </w:rPr>
      </w:pPr>
      <w:r w:rsidRPr="0083433C">
        <w:rPr>
          <w:rFonts w:ascii="Verdana" w:hAnsi="Verdana"/>
          <w:sz w:val="22"/>
          <w:szCs w:val="22"/>
        </w:rPr>
        <w:t xml:space="preserve">The Committee is to </w:t>
      </w:r>
      <w:r>
        <w:rPr>
          <w:rFonts w:ascii="Verdana" w:hAnsi="Verdana"/>
          <w:sz w:val="22"/>
          <w:szCs w:val="22"/>
        </w:rPr>
        <w:t xml:space="preserve">monitor the Cyber Security of the school. As such, it is to </w:t>
      </w:r>
      <w:r w:rsidRPr="0083433C">
        <w:rPr>
          <w:rFonts w:ascii="Verdana" w:hAnsi="Verdana"/>
          <w:sz w:val="22"/>
          <w:szCs w:val="22"/>
        </w:rPr>
        <w:t>receive and consider</w:t>
      </w:r>
      <w:r>
        <w:rPr>
          <w:rFonts w:ascii="Verdana" w:hAnsi="Verdana"/>
          <w:sz w:val="22"/>
          <w:szCs w:val="22"/>
        </w:rPr>
        <w:t xml:space="preserve"> </w:t>
      </w:r>
      <w:r w:rsidR="00D12022">
        <w:rPr>
          <w:rFonts w:ascii="Verdana" w:hAnsi="Verdana"/>
          <w:sz w:val="22"/>
          <w:szCs w:val="22"/>
        </w:rPr>
        <w:t>on a</w:t>
      </w:r>
      <w:r>
        <w:rPr>
          <w:rFonts w:ascii="Verdana" w:hAnsi="Verdana"/>
          <w:sz w:val="22"/>
          <w:szCs w:val="22"/>
        </w:rPr>
        <w:t xml:space="preserve"> regular </w:t>
      </w:r>
      <w:r w:rsidR="00D12022">
        <w:rPr>
          <w:rFonts w:ascii="Verdana" w:hAnsi="Verdana"/>
          <w:sz w:val="22"/>
          <w:szCs w:val="22"/>
        </w:rPr>
        <w:t xml:space="preserve">basis a report </w:t>
      </w:r>
      <w:r>
        <w:rPr>
          <w:rFonts w:ascii="Verdana" w:hAnsi="Verdana"/>
          <w:sz w:val="22"/>
          <w:szCs w:val="22"/>
        </w:rPr>
        <w:t>o</w:t>
      </w:r>
      <w:r w:rsidR="00D12022">
        <w:rPr>
          <w:rFonts w:ascii="Verdana" w:hAnsi="Verdana"/>
          <w:sz w:val="22"/>
          <w:szCs w:val="22"/>
        </w:rPr>
        <w:t>n</w:t>
      </w:r>
      <w:r>
        <w:rPr>
          <w:rFonts w:ascii="Verdana" w:hAnsi="Verdana"/>
          <w:sz w:val="22"/>
          <w:szCs w:val="22"/>
        </w:rPr>
        <w:t xml:space="preserve"> the information </w:t>
      </w:r>
      <w:proofErr w:type="gramStart"/>
      <w:r>
        <w:rPr>
          <w:rFonts w:ascii="Verdana" w:hAnsi="Verdana"/>
          <w:sz w:val="22"/>
          <w:szCs w:val="22"/>
        </w:rPr>
        <w:t xml:space="preserve">systems </w:t>
      </w:r>
      <w:r w:rsidR="002518C1" w:rsidRPr="00237F0B">
        <w:rPr>
          <w:rFonts w:ascii="Verdana" w:hAnsi="Verdana"/>
          <w:sz w:val="22"/>
          <w:szCs w:val="22"/>
        </w:rPr>
        <w:t xml:space="preserve"> </w:t>
      </w:r>
      <w:r w:rsidR="00D12022">
        <w:rPr>
          <w:rFonts w:ascii="Verdana" w:hAnsi="Verdana"/>
          <w:sz w:val="22"/>
          <w:szCs w:val="22"/>
        </w:rPr>
        <w:t>of</w:t>
      </w:r>
      <w:proofErr w:type="gramEnd"/>
      <w:r w:rsidR="00D12022">
        <w:rPr>
          <w:rFonts w:ascii="Verdana" w:hAnsi="Verdana"/>
          <w:sz w:val="22"/>
          <w:szCs w:val="22"/>
        </w:rPr>
        <w:t xml:space="preserve"> the school </w:t>
      </w:r>
      <w:r w:rsidR="002518C1" w:rsidRPr="00237F0B">
        <w:rPr>
          <w:rFonts w:ascii="Verdana" w:hAnsi="Verdana"/>
          <w:sz w:val="22"/>
          <w:szCs w:val="22"/>
        </w:rPr>
        <w:t xml:space="preserve">conducted by External Auditors </w:t>
      </w:r>
    </w:p>
    <w:p w14:paraId="5DA6D9B4" w14:textId="77777777" w:rsidR="00DB08E6" w:rsidRPr="00237F0B" w:rsidRDefault="00DB08E6" w:rsidP="00DB08E6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ind w:left="567"/>
        <w:rPr>
          <w:rFonts w:ascii="Verdana" w:hAnsi="Verdana"/>
          <w:sz w:val="22"/>
          <w:szCs w:val="22"/>
        </w:rPr>
      </w:pPr>
    </w:p>
    <w:p w14:paraId="64FAB3EB" w14:textId="77777777" w:rsidR="00DB08E6" w:rsidRPr="00237F0B" w:rsidRDefault="00DB08E6" w:rsidP="00DB08E6">
      <w:pPr>
        <w:numPr>
          <w:ilvl w:val="0"/>
          <w:numId w:val="12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after="0" w:line="240" w:lineRule="auto"/>
        <w:ind w:hanging="1287"/>
        <w:rPr>
          <w:rFonts w:ascii="Verdana" w:hAnsi="Verdana"/>
          <w:b/>
          <w:sz w:val="22"/>
          <w:szCs w:val="22"/>
        </w:rPr>
      </w:pPr>
      <w:r w:rsidRPr="00237F0B">
        <w:rPr>
          <w:rFonts w:ascii="Verdana" w:hAnsi="Verdana"/>
          <w:b/>
          <w:sz w:val="22"/>
          <w:szCs w:val="22"/>
        </w:rPr>
        <w:t>REPORTING</w:t>
      </w:r>
    </w:p>
    <w:p w14:paraId="00D51CEF" w14:textId="77777777" w:rsidR="00DB08E6" w:rsidRPr="00237F0B" w:rsidRDefault="00DB08E6" w:rsidP="00DB08E6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ind w:left="567"/>
        <w:rPr>
          <w:rFonts w:ascii="Verdana" w:hAnsi="Verdana"/>
          <w:b/>
          <w:sz w:val="22"/>
          <w:szCs w:val="22"/>
        </w:rPr>
      </w:pPr>
    </w:p>
    <w:p w14:paraId="0AC3B925" w14:textId="77777777" w:rsidR="00DB08E6" w:rsidRPr="00237F0B" w:rsidRDefault="00DB08E6" w:rsidP="00DB08E6">
      <w:pPr>
        <w:numPr>
          <w:ilvl w:val="0"/>
          <w:numId w:val="17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Verdana" w:hAnsi="Verdana"/>
          <w:sz w:val="22"/>
          <w:szCs w:val="22"/>
        </w:rPr>
      </w:pPr>
      <w:r w:rsidRPr="00237F0B">
        <w:rPr>
          <w:rFonts w:ascii="Verdana" w:hAnsi="Verdana"/>
          <w:sz w:val="22"/>
          <w:szCs w:val="22"/>
        </w:rPr>
        <w:t xml:space="preserve">The minutes of a meeting constitute the report of the Committee to the Governing Body. Papers considered by the Committee will be made available to governors. </w:t>
      </w:r>
    </w:p>
    <w:p w14:paraId="11A27C63" w14:textId="77777777" w:rsidR="00DB08E6" w:rsidRPr="00237F0B" w:rsidRDefault="00DB08E6" w:rsidP="00DB08E6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ind w:left="567"/>
        <w:rPr>
          <w:rFonts w:ascii="Verdana" w:hAnsi="Verdana"/>
          <w:sz w:val="22"/>
          <w:szCs w:val="22"/>
        </w:rPr>
      </w:pPr>
    </w:p>
    <w:p w14:paraId="218AACEF" w14:textId="77777777" w:rsidR="00DB08E6" w:rsidRPr="00237F0B" w:rsidRDefault="00DB08E6" w:rsidP="00DB08E6">
      <w:pPr>
        <w:numPr>
          <w:ilvl w:val="0"/>
          <w:numId w:val="17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Verdana" w:hAnsi="Verdana"/>
          <w:sz w:val="22"/>
          <w:szCs w:val="22"/>
        </w:rPr>
      </w:pPr>
      <w:r w:rsidRPr="00237F0B">
        <w:rPr>
          <w:rFonts w:ascii="Verdana" w:hAnsi="Verdana"/>
          <w:sz w:val="22"/>
          <w:szCs w:val="22"/>
        </w:rPr>
        <w:t>In relation to those</w:t>
      </w:r>
      <w:r w:rsidR="00784D37" w:rsidRPr="00237F0B">
        <w:rPr>
          <w:rFonts w:ascii="Verdana" w:hAnsi="Verdana"/>
          <w:sz w:val="22"/>
          <w:szCs w:val="22"/>
        </w:rPr>
        <w:t xml:space="preserve"> duties set out at Paragraphs 3</w:t>
      </w:r>
      <w:r w:rsidRPr="00237F0B">
        <w:rPr>
          <w:rFonts w:ascii="Verdana" w:hAnsi="Verdana"/>
          <w:sz w:val="22"/>
          <w:szCs w:val="22"/>
        </w:rPr>
        <w:t xml:space="preserve"> </w:t>
      </w:r>
      <w:r w:rsidR="00784D37" w:rsidRPr="00237F0B">
        <w:rPr>
          <w:rFonts w:ascii="Verdana" w:hAnsi="Verdana"/>
          <w:sz w:val="22"/>
          <w:szCs w:val="22"/>
        </w:rPr>
        <w:t xml:space="preserve">&amp; </w:t>
      </w:r>
      <w:r w:rsidRPr="00237F0B">
        <w:rPr>
          <w:rFonts w:ascii="Verdana" w:hAnsi="Verdana"/>
          <w:sz w:val="22"/>
          <w:szCs w:val="22"/>
        </w:rPr>
        <w:t>4</w:t>
      </w:r>
      <w:r w:rsidR="00784D37" w:rsidRPr="00237F0B">
        <w:rPr>
          <w:rFonts w:ascii="Verdana" w:hAnsi="Verdana"/>
          <w:sz w:val="22"/>
          <w:szCs w:val="22"/>
        </w:rPr>
        <w:t>,</w:t>
      </w:r>
      <w:r w:rsidRPr="00237F0B">
        <w:rPr>
          <w:rFonts w:ascii="Verdana" w:hAnsi="Verdana"/>
          <w:sz w:val="22"/>
          <w:szCs w:val="22"/>
        </w:rPr>
        <w:t xml:space="preserve"> the Committee has the power to make decisions where the proposed change is in accordance with an existing policy and/or strategic plan objective and where there are no financial implications outside the approved budget provision. The Governing Body will be asked to ratify such decisions at its next scheduled meeting.</w:t>
      </w:r>
    </w:p>
    <w:p w14:paraId="6019092D" w14:textId="77777777" w:rsidR="00DB08E6" w:rsidRPr="00237F0B" w:rsidRDefault="00DB08E6" w:rsidP="00DB08E6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ind w:left="567"/>
        <w:rPr>
          <w:rFonts w:ascii="Verdana" w:hAnsi="Verdana"/>
          <w:sz w:val="22"/>
          <w:szCs w:val="22"/>
        </w:rPr>
      </w:pPr>
    </w:p>
    <w:p w14:paraId="3B81FC52" w14:textId="77777777" w:rsidR="00DB08E6" w:rsidRPr="00237F0B" w:rsidRDefault="00DB08E6" w:rsidP="00DB08E6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ind w:left="567"/>
        <w:rPr>
          <w:rFonts w:ascii="Verdana" w:hAnsi="Verdana"/>
          <w:sz w:val="22"/>
          <w:szCs w:val="22"/>
        </w:rPr>
      </w:pPr>
    </w:p>
    <w:p w14:paraId="04B9A66A" w14:textId="77777777" w:rsidR="00DB08E6" w:rsidRPr="00237F0B" w:rsidRDefault="00DB08E6" w:rsidP="00DB08E6">
      <w:pPr>
        <w:tabs>
          <w:tab w:val="left" w:pos="567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rPr>
          <w:rFonts w:ascii="Verdana" w:hAnsi="Verdana"/>
          <w:sz w:val="22"/>
          <w:szCs w:val="22"/>
        </w:rPr>
      </w:pPr>
    </w:p>
    <w:sectPr w:rsidR="00DB08E6" w:rsidRPr="00237F0B" w:rsidSect="00237F0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510" w:footer="73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CED9A" w14:textId="77777777" w:rsidR="00FF0BD7" w:rsidRDefault="00FF0BD7" w:rsidP="00C664FA">
      <w:pPr>
        <w:spacing w:after="0" w:line="240" w:lineRule="auto"/>
      </w:pPr>
      <w:r>
        <w:separator/>
      </w:r>
    </w:p>
  </w:endnote>
  <w:endnote w:type="continuationSeparator" w:id="0">
    <w:p w14:paraId="1A822832" w14:textId="77777777" w:rsidR="00FF0BD7" w:rsidRDefault="00FF0BD7" w:rsidP="00C66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altName w:val="Garamond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A1609" w14:textId="77777777" w:rsidR="00237F0B" w:rsidRDefault="00237F0B" w:rsidP="00A869E0">
    <w:pPr>
      <w:pStyle w:val="Footer"/>
      <w:rPr>
        <w:rFonts w:ascii="Helvetica" w:hAnsi="Helvetica" w:cs="Helvetica"/>
        <w:b/>
        <w:sz w:val="24"/>
        <w:szCs w:val="24"/>
      </w:rPr>
    </w:pPr>
  </w:p>
  <w:p w14:paraId="2B669EA9" w14:textId="7F8799F4" w:rsidR="00237F0B" w:rsidRDefault="00237F0B" w:rsidP="00A869E0">
    <w:pPr>
      <w:pStyle w:val="Footer"/>
    </w:pPr>
    <w:r>
      <w:rPr>
        <w:rFonts w:ascii="Helvetica" w:hAnsi="Helvetica" w:cs="Helvetica"/>
        <w:b/>
        <w:sz w:val="24"/>
        <w:szCs w:val="24"/>
      </w:rPr>
      <w:t>April</w:t>
    </w:r>
    <w:r w:rsidR="002518C1">
      <w:rPr>
        <w:rFonts w:ascii="Helvetica" w:hAnsi="Helvetica" w:cs="Helvetica"/>
        <w:b/>
        <w:sz w:val="24"/>
        <w:szCs w:val="24"/>
      </w:rPr>
      <w:t xml:space="preserve"> 2021</w:t>
    </w:r>
  </w:p>
  <w:p w14:paraId="0C378AD1" w14:textId="523DE427" w:rsidR="00A869E0" w:rsidRPr="00237F0B" w:rsidRDefault="00A869E0" w:rsidP="00A869E0">
    <w:pPr>
      <w:pStyle w:val="Footer"/>
      <w:rPr>
        <w:rFonts w:ascii="Helvetica" w:hAnsi="Helvetica" w:cs="Helvetica"/>
        <w:b/>
        <w:sz w:val="24"/>
        <w:szCs w:val="24"/>
      </w:rPr>
    </w:pPr>
    <w:r>
      <w:tab/>
    </w:r>
    <w:r>
      <w:tab/>
    </w:r>
    <w:sdt>
      <w:sdtPr>
        <w:id w:val="228739981"/>
        <w:docPartObj>
          <w:docPartGallery w:val="Page Numbers (Bottom of Page)"/>
          <w:docPartUnique/>
        </w:docPartObj>
      </w:sdtPr>
      <w:sdtEndPr/>
      <w:sdtContent>
        <w:sdt>
          <w:sdt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34428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34428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49D51C6D" w14:textId="77777777" w:rsidR="007A01D4" w:rsidRPr="00A869E0" w:rsidRDefault="007A01D4" w:rsidP="00A869E0">
    <w:pPr>
      <w:pStyle w:val="Footer"/>
      <w:rPr>
        <w:rFonts w:ascii="Helvetica" w:hAnsi="Helvetica" w:cs="Helvetica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73620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C378D5" w14:textId="77777777" w:rsidR="000B211F" w:rsidRDefault="000B211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AFF3534" w14:textId="77777777" w:rsidR="000B211F" w:rsidRDefault="000B21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56E4F" w14:textId="77777777" w:rsidR="00FF0BD7" w:rsidRDefault="00FF0BD7" w:rsidP="00C664FA">
      <w:pPr>
        <w:spacing w:after="0" w:line="240" w:lineRule="auto"/>
      </w:pPr>
      <w:r>
        <w:separator/>
      </w:r>
    </w:p>
  </w:footnote>
  <w:footnote w:type="continuationSeparator" w:id="0">
    <w:p w14:paraId="13F379F3" w14:textId="77777777" w:rsidR="00FF0BD7" w:rsidRDefault="00FF0BD7" w:rsidP="00C66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06FD1" w14:textId="28CEF09A" w:rsidR="00C664FA" w:rsidRDefault="00D52FC0" w:rsidP="00D52FC0">
    <w:pPr>
      <w:pStyle w:val="Header"/>
      <w:ind w:left="-737"/>
      <w:jc w:val="center"/>
    </w:pPr>
    <w:r w:rsidRPr="00CF2FEC">
      <w:rPr>
        <w:rFonts w:ascii="Verdana" w:hAnsi="Verdana"/>
        <w:b/>
        <w:noProof/>
        <w:sz w:val="22"/>
        <w:szCs w:val="22"/>
      </w:rPr>
      <w:drawing>
        <wp:inline distT="0" distB="0" distL="0" distR="0" wp14:anchorId="586EDEE9" wp14:editId="306A62FE">
          <wp:extent cx="1143000" cy="8572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6E6332" w14:textId="77777777" w:rsidR="007F3CD2" w:rsidRDefault="007F3CD2" w:rsidP="009D73D4">
    <w:pPr>
      <w:pStyle w:val="Header"/>
      <w:ind w:left="-737"/>
      <w:jc w:val="center"/>
    </w:pPr>
  </w:p>
  <w:p w14:paraId="00E02679" w14:textId="77777777" w:rsidR="00C664FA" w:rsidRDefault="00C664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4EEB9" w14:textId="77777777" w:rsidR="000B211F" w:rsidRDefault="000B211F" w:rsidP="000B211F">
    <w:pPr>
      <w:pStyle w:val="Header"/>
    </w:pPr>
    <w:r w:rsidRPr="00C664FA">
      <w:rPr>
        <w:noProof/>
        <w:lang w:eastAsia="en-GB"/>
      </w:rPr>
      <w:drawing>
        <wp:anchor distT="0" distB="0" distL="114300" distR="114300" simplePos="0" relativeHeight="251662336" behindDoc="0" locked="0" layoutInCell="1" allowOverlap="1" wp14:anchorId="52FAD1CF" wp14:editId="7B4FD03B">
          <wp:simplePos x="0" y="0"/>
          <wp:positionH relativeFrom="column">
            <wp:posOffset>5168900</wp:posOffset>
          </wp:positionH>
          <wp:positionV relativeFrom="paragraph">
            <wp:posOffset>-11430</wp:posOffset>
          </wp:positionV>
          <wp:extent cx="1123950" cy="1134110"/>
          <wp:effectExtent l="0" t="0" r="0" b="8890"/>
          <wp:wrapNone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3950" cy="1134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664FA">
      <w:rPr>
        <w:noProof/>
        <w:lang w:eastAsia="en-GB"/>
      </w:rPr>
      <w:drawing>
        <wp:anchor distT="0" distB="0" distL="114300" distR="114300" simplePos="0" relativeHeight="251663360" behindDoc="0" locked="0" layoutInCell="1" allowOverlap="1" wp14:anchorId="3FF46610" wp14:editId="1DFC4CC1">
          <wp:simplePos x="0" y="0"/>
          <wp:positionH relativeFrom="column">
            <wp:posOffset>-393700</wp:posOffset>
          </wp:positionH>
          <wp:positionV relativeFrom="paragraph">
            <wp:posOffset>53975</wp:posOffset>
          </wp:positionV>
          <wp:extent cx="1285875" cy="899795"/>
          <wp:effectExtent l="0" t="0" r="9525" b="0"/>
          <wp:wrapNone/>
          <wp:docPr id="8" name="Picture 2" descr="Z:\Documents\MARKETING\SJHS LOGO 2013\logos da inviare\SJHS_Text_Logo-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Z:\Documents\MARKETING\SJHS LOGO 2013\logos da inviare\SJHS_Text_Logo-1.jpe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9979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</w:p>
  <w:p w14:paraId="78D722F8" w14:textId="77777777" w:rsidR="000B211F" w:rsidRDefault="000B211F" w:rsidP="000B211F">
    <w:pPr>
      <w:pStyle w:val="Header"/>
    </w:pPr>
  </w:p>
  <w:p w14:paraId="7065765B" w14:textId="77777777" w:rsidR="000B211F" w:rsidRPr="000B211F" w:rsidRDefault="000B211F" w:rsidP="000B21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700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5422C40"/>
    <w:multiLevelType w:val="hybridMultilevel"/>
    <w:tmpl w:val="F7840B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53203"/>
    <w:multiLevelType w:val="hybridMultilevel"/>
    <w:tmpl w:val="213EC85E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672359E"/>
    <w:multiLevelType w:val="hybridMultilevel"/>
    <w:tmpl w:val="F7840B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24204"/>
    <w:multiLevelType w:val="multilevel"/>
    <w:tmpl w:val="7076CA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93976E1"/>
    <w:multiLevelType w:val="hybridMultilevel"/>
    <w:tmpl w:val="41A60DDE"/>
    <w:lvl w:ilvl="0" w:tplc="D3088484">
      <w:start w:val="20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2D35FC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6DF2826"/>
    <w:multiLevelType w:val="hybridMultilevel"/>
    <w:tmpl w:val="DE9473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620769"/>
    <w:multiLevelType w:val="hybridMultilevel"/>
    <w:tmpl w:val="F7840B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810390"/>
    <w:multiLevelType w:val="hybridMultilevel"/>
    <w:tmpl w:val="F7840B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EC5641"/>
    <w:multiLevelType w:val="hybridMultilevel"/>
    <w:tmpl w:val="91A863F0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C243E7D"/>
    <w:multiLevelType w:val="hybridMultilevel"/>
    <w:tmpl w:val="FDD470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4E10ED"/>
    <w:multiLevelType w:val="hybridMultilevel"/>
    <w:tmpl w:val="DDBE42A4"/>
    <w:lvl w:ilvl="0" w:tplc="0809001B">
      <w:start w:val="1"/>
      <w:numFmt w:val="lowerRoman"/>
      <w:lvlText w:val="%1."/>
      <w:lvlJc w:val="right"/>
      <w:pPr>
        <w:ind w:left="1287" w:hanging="360"/>
      </w:pPr>
    </w:lvl>
    <w:lvl w:ilvl="1" w:tplc="08090019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1B762F5"/>
    <w:multiLevelType w:val="hybridMultilevel"/>
    <w:tmpl w:val="1BBC6D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6A1349"/>
    <w:multiLevelType w:val="multilevel"/>
    <w:tmpl w:val="D374A6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DF824C2"/>
    <w:multiLevelType w:val="hybridMultilevel"/>
    <w:tmpl w:val="9856C390"/>
    <w:lvl w:ilvl="0" w:tplc="D54E9256">
      <w:start w:val="20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41714B"/>
    <w:multiLevelType w:val="hybridMultilevel"/>
    <w:tmpl w:val="F7840B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801CD0"/>
    <w:multiLevelType w:val="hybridMultilevel"/>
    <w:tmpl w:val="161A2EE0"/>
    <w:lvl w:ilvl="0" w:tplc="45B6E55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AE2377"/>
    <w:multiLevelType w:val="hybridMultilevel"/>
    <w:tmpl w:val="F7840B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3"/>
  </w:num>
  <w:num w:numId="4">
    <w:abstractNumId w:val="0"/>
  </w:num>
  <w:num w:numId="5">
    <w:abstractNumId w:val="4"/>
  </w:num>
  <w:num w:numId="6">
    <w:abstractNumId w:val="6"/>
  </w:num>
  <w:num w:numId="7">
    <w:abstractNumId w:val="14"/>
  </w:num>
  <w:num w:numId="8">
    <w:abstractNumId w:val="18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2"/>
  </w:num>
  <w:num w:numId="12">
    <w:abstractNumId w:val="2"/>
  </w:num>
  <w:num w:numId="13">
    <w:abstractNumId w:val="3"/>
  </w:num>
  <w:num w:numId="14">
    <w:abstractNumId w:val="8"/>
  </w:num>
  <w:num w:numId="15">
    <w:abstractNumId w:val="9"/>
  </w:num>
  <w:num w:numId="16">
    <w:abstractNumId w:val="1"/>
  </w:num>
  <w:num w:numId="17">
    <w:abstractNumId w:val="16"/>
  </w:num>
  <w:num w:numId="18">
    <w:abstractNumId w:val="17"/>
  </w:num>
  <w:num w:numId="19">
    <w:abstractNumId w:val="17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10F"/>
    <w:rsid w:val="00004269"/>
    <w:rsid w:val="00022A71"/>
    <w:rsid w:val="00026B19"/>
    <w:rsid w:val="0005053B"/>
    <w:rsid w:val="00077600"/>
    <w:rsid w:val="000B211F"/>
    <w:rsid w:val="000B3899"/>
    <w:rsid w:val="000E68E3"/>
    <w:rsid w:val="000F0A66"/>
    <w:rsid w:val="000F0E42"/>
    <w:rsid w:val="001038C9"/>
    <w:rsid w:val="00134594"/>
    <w:rsid w:val="00140158"/>
    <w:rsid w:val="00170054"/>
    <w:rsid w:val="00182C24"/>
    <w:rsid w:val="00222C45"/>
    <w:rsid w:val="00237F0B"/>
    <w:rsid w:val="002518C1"/>
    <w:rsid w:val="00262C41"/>
    <w:rsid w:val="002A39C7"/>
    <w:rsid w:val="00320647"/>
    <w:rsid w:val="00355FBA"/>
    <w:rsid w:val="003D73E8"/>
    <w:rsid w:val="003E3C4F"/>
    <w:rsid w:val="003E6FCC"/>
    <w:rsid w:val="003F1FC1"/>
    <w:rsid w:val="004320F5"/>
    <w:rsid w:val="005861F7"/>
    <w:rsid w:val="005A299D"/>
    <w:rsid w:val="005C3C17"/>
    <w:rsid w:val="005D0FE6"/>
    <w:rsid w:val="005F794C"/>
    <w:rsid w:val="00603ACA"/>
    <w:rsid w:val="00607235"/>
    <w:rsid w:val="006205E2"/>
    <w:rsid w:val="00623717"/>
    <w:rsid w:val="00632982"/>
    <w:rsid w:val="0068484B"/>
    <w:rsid w:val="0068685A"/>
    <w:rsid w:val="006B10B4"/>
    <w:rsid w:val="006C7A87"/>
    <w:rsid w:val="006D0FC9"/>
    <w:rsid w:val="00782E0D"/>
    <w:rsid w:val="00784D37"/>
    <w:rsid w:val="007909A6"/>
    <w:rsid w:val="007A01D4"/>
    <w:rsid w:val="007A02D3"/>
    <w:rsid w:val="007C395A"/>
    <w:rsid w:val="007F3CD2"/>
    <w:rsid w:val="00801DE7"/>
    <w:rsid w:val="00826D35"/>
    <w:rsid w:val="008B6E5E"/>
    <w:rsid w:val="008D3B4B"/>
    <w:rsid w:val="00945621"/>
    <w:rsid w:val="0095096C"/>
    <w:rsid w:val="00953BBD"/>
    <w:rsid w:val="00954986"/>
    <w:rsid w:val="00960CEA"/>
    <w:rsid w:val="00967650"/>
    <w:rsid w:val="009D73D4"/>
    <w:rsid w:val="00A524BA"/>
    <w:rsid w:val="00A869E0"/>
    <w:rsid w:val="00AB2A51"/>
    <w:rsid w:val="00AC4CD0"/>
    <w:rsid w:val="00AC7B03"/>
    <w:rsid w:val="00AE5117"/>
    <w:rsid w:val="00B34428"/>
    <w:rsid w:val="00B3594D"/>
    <w:rsid w:val="00B43F13"/>
    <w:rsid w:val="00B7710F"/>
    <w:rsid w:val="00BA0062"/>
    <w:rsid w:val="00BA11F6"/>
    <w:rsid w:val="00BA4E14"/>
    <w:rsid w:val="00C256AA"/>
    <w:rsid w:val="00C31692"/>
    <w:rsid w:val="00C664FA"/>
    <w:rsid w:val="00C738AF"/>
    <w:rsid w:val="00CB5712"/>
    <w:rsid w:val="00CB59BA"/>
    <w:rsid w:val="00CC34CB"/>
    <w:rsid w:val="00CC4AB6"/>
    <w:rsid w:val="00CE1654"/>
    <w:rsid w:val="00CF3490"/>
    <w:rsid w:val="00D12022"/>
    <w:rsid w:val="00D33292"/>
    <w:rsid w:val="00D52FC0"/>
    <w:rsid w:val="00DB08E6"/>
    <w:rsid w:val="00DC268D"/>
    <w:rsid w:val="00DC35FE"/>
    <w:rsid w:val="00DD063F"/>
    <w:rsid w:val="00DF34AA"/>
    <w:rsid w:val="00DF672D"/>
    <w:rsid w:val="00E009A8"/>
    <w:rsid w:val="00E01118"/>
    <w:rsid w:val="00E020B7"/>
    <w:rsid w:val="00E128EC"/>
    <w:rsid w:val="00E42B0C"/>
    <w:rsid w:val="00E76CC0"/>
    <w:rsid w:val="00E816D2"/>
    <w:rsid w:val="00EB7E0F"/>
    <w:rsid w:val="00EC554D"/>
    <w:rsid w:val="00ED20EB"/>
    <w:rsid w:val="00F35DCF"/>
    <w:rsid w:val="00F40C60"/>
    <w:rsid w:val="00F44C51"/>
    <w:rsid w:val="00F600BC"/>
    <w:rsid w:val="00FC4B8B"/>
    <w:rsid w:val="00FD4A21"/>
    <w:rsid w:val="00FD5177"/>
    <w:rsid w:val="00FF0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8DD94F"/>
  <w15:docId w15:val="{3EC7E355-F3E9-4C85-8715-DB94CF78A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71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2C4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664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64FA"/>
  </w:style>
  <w:style w:type="paragraph" w:styleId="Footer">
    <w:name w:val="footer"/>
    <w:basedOn w:val="Normal"/>
    <w:link w:val="FooterChar"/>
    <w:uiPriority w:val="99"/>
    <w:unhideWhenUsed/>
    <w:rsid w:val="00C664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64FA"/>
  </w:style>
  <w:style w:type="paragraph" w:styleId="Revision">
    <w:name w:val="Revision"/>
    <w:hidden/>
    <w:uiPriority w:val="99"/>
    <w:semiHidden/>
    <w:rsid w:val="00F44C51"/>
    <w:pPr>
      <w:spacing w:after="0" w:line="240" w:lineRule="auto"/>
    </w:pPr>
  </w:style>
  <w:style w:type="paragraph" w:styleId="NoSpacing">
    <w:name w:val="No Spacing"/>
    <w:uiPriority w:val="1"/>
    <w:qFormat/>
    <w:rsid w:val="00DB08E6"/>
    <w:pPr>
      <w:spacing w:after="0" w:line="240" w:lineRule="auto"/>
    </w:pPr>
    <w:rPr>
      <w:rFonts w:ascii="Calibri" w:eastAsia="Times New Roman" w:hAnsi="Calibri" w:cs="Times New Roman"/>
      <w:sz w:val="22"/>
      <w:szCs w:val="22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53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5BF86-1A9C-4CE0-A082-EB99D424F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Sir james Henderson School</Company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 james Henderson School</dc:creator>
  <cp:lastModifiedBy>Katia Cosentino</cp:lastModifiedBy>
  <cp:revision>2</cp:revision>
  <cp:lastPrinted>2015-07-07T07:49:00Z</cp:lastPrinted>
  <dcterms:created xsi:type="dcterms:W3CDTF">2021-05-03T06:41:00Z</dcterms:created>
  <dcterms:modified xsi:type="dcterms:W3CDTF">2021-05-03T06:41:00Z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uppressFooterUpdate">
    <vt:bool>true</vt:bool>
  </property>
  <property fmtid="{D5CDD505-2E9C-101B-9397-08002B2CF9AE}" pid="3" name="WCFooterVersion">
    <vt:i4>1</vt:i4>
  </property>
</Properties>
</file>